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4024" w:rsidRPr="00A97FD7" w:rsidRDefault="00F34024" w:rsidP="00A97FD7">
      <w:pPr>
        <w:jc w:val="center"/>
        <w:rPr>
          <w:rFonts w:asciiTheme="minorHAnsi" w:hAnsiTheme="minorHAnsi"/>
          <w:b/>
          <w:bCs/>
          <w:caps/>
          <w:szCs w:val="24"/>
        </w:rPr>
      </w:pPr>
      <w:r w:rsidRPr="00A97FD7">
        <w:rPr>
          <w:rFonts w:asciiTheme="minorHAnsi" w:hAnsiTheme="minorHAnsi"/>
          <w:b/>
          <w:bCs/>
          <w:caps/>
          <w:szCs w:val="24"/>
        </w:rPr>
        <w:t>Providing Government Property</w:t>
      </w:r>
      <w:r w:rsidR="0020170F" w:rsidRPr="00A97FD7">
        <w:rPr>
          <w:rFonts w:asciiTheme="minorHAnsi" w:hAnsiTheme="minorHAnsi"/>
          <w:b/>
          <w:bCs/>
          <w:caps/>
          <w:szCs w:val="24"/>
        </w:rPr>
        <w:t xml:space="preserve"> to contractors</w:t>
      </w:r>
    </w:p>
    <w:p w:rsidR="0020170F" w:rsidRPr="00A97FD7" w:rsidRDefault="0020170F" w:rsidP="00A97FD7">
      <w:pPr>
        <w:jc w:val="center"/>
        <w:rPr>
          <w:rFonts w:asciiTheme="minorHAnsi" w:hAnsiTheme="minorHAnsi"/>
          <w:b/>
          <w:bCs/>
          <w:i/>
          <w:caps/>
          <w:szCs w:val="24"/>
        </w:rPr>
      </w:pPr>
      <w:r w:rsidRPr="00A97FD7">
        <w:rPr>
          <w:rFonts w:asciiTheme="minorHAnsi" w:hAnsiTheme="minorHAnsi"/>
          <w:b/>
          <w:bCs/>
          <w:i/>
          <w:caps/>
          <w:szCs w:val="24"/>
        </w:rPr>
        <w:t>what do I need to know?</w:t>
      </w:r>
    </w:p>
    <w:p w:rsidR="00F34024" w:rsidRPr="00A97FD7" w:rsidRDefault="00F34024" w:rsidP="00A97FD7">
      <w:pPr>
        <w:jc w:val="both"/>
        <w:rPr>
          <w:rFonts w:asciiTheme="minorHAnsi" w:hAnsiTheme="minorHAnsi"/>
          <w:bCs/>
          <w:szCs w:val="24"/>
        </w:rPr>
      </w:pPr>
    </w:p>
    <w:p w:rsidR="00CF0896" w:rsidRPr="00A97FD7" w:rsidRDefault="00CF0896" w:rsidP="00A97FD7">
      <w:pPr>
        <w:jc w:val="both"/>
        <w:rPr>
          <w:rFonts w:asciiTheme="minorHAnsi" w:hAnsiTheme="minorHAnsi"/>
          <w:bCs/>
          <w:szCs w:val="24"/>
        </w:rPr>
      </w:pPr>
    </w:p>
    <w:p w:rsidR="00C37F7A" w:rsidRPr="00A97FD7" w:rsidRDefault="00C37F7A" w:rsidP="00A97FD7">
      <w:pPr>
        <w:jc w:val="both"/>
        <w:rPr>
          <w:rFonts w:asciiTheme="minorHAnsi" w:hAnsiTheme="minorHAnsi"/>
          <w:bCs/>
          <w:szCs w:val="24"/>
          <w:u w:val="single"/>
        </w:rPr>
      </w:pPr>
      <w:r w:rsidRPr="00A97FD7">
        <w:rPr>
          <w:rFonts w:asciiTheme="minorHAnsi" w:hAnsiTheme="minorHAnsi"/>
          <w:bCs/>
          <w:szCs w:val="24"/>
          <w:u w:val="single"/>
        </w:rPr>
        <w:t>Background</w:t>
      </w:r>
    </w:p>
    <w:p w:rsidR="00C37F7A" w:rsidRPr="00A97FD7" w:rsidRDefault="00C37F7A" w:rsidP="00A97FD7">
      <w:pPr>
        <w:jc w:val="both"/>
        <w:rPr>
          <w:rFonts w:asciiTheme="minorHAnsi" w:hAnsiTheme="minorHAnsi"/>
          <w:bCs/>
          <w:szCs w:val="24"/>
        </w:rPr>
      </w:pPr>
    </w:p>
    <w:p w:rsidR="001E0445" w:rsidRPr="00A97FD7" w:rsidRDefault="00F34024" w:rsidP="00A97FD7">
      <w:pPr>
        <w:jc w:val="both"/>
        <w:rPr>
          <w:rFonts w:asciiTheme="minorHAnsi" w:hAnsiTheme="minorHAnsi"/>
          <w:bCs/>
          <w:szCs w:val="24"/>
        </w:rPr>
      </w:pPr>
      <w:r w:rsidRPr="00A97FD7">
        <w:rPr>
          <w:rFonts w:asciiTheme="minorHAnsi" w:hAnsiTheme="minorHAnsi"/>
          <w:bCs/>
          <w:szCs w:val="24"/>
        </w:rPr>
        <w:t xml:space="preserve">Any </w:t>
      </w:r>
      <w:r w:rsidR="00B508AF" w:rsidRPr="00A97FD7">
        <w:rPr>
          <w:rFonts w:asciiTheme="minorHAnsi" w:hAnsiTheme="minorHAnsi"/>
          <w:bCs/>
          <w:szCs w:val="24"/>
        </w:rPr>
        <w:t>g</w:t>
      </w:r>
      <w:r w:rsidRPr="00A97FD7">
        <w:rPr>
          <w:rFonts w:asciiTheme="minorHAnsi" w:hAnsiTheme="minorHAnsi"/>
          <w:bCs/>
          <w:szCs w:val="24"/>
        </w:rPr>
        <w:t xml:space="preserve">overnment property that will be provided for the contractor’s use during the performance of a contract must be identified in the solicitation and resulting contract. </w:t>
      </w:r>
      <w:r w:rsidR="00B508AF" w:rsidRPr="00A97FD7">
        <w:rPr>
          <w:rFonts w:asciiTheme="minorHAnsi" w:hAnsiTheme="minorHAnsi"/>
          <w:bCs/>
          <w:szCs w:val="24"/>
        </w:rPr>
        <w:t>G</w:t>
      </w:r>
      <w:r w:rsidR="001E0445" w:rsidRPr="00A97FD7">
        <w:rPr>
          <w:rFonts w:asciiTheme="minorHAnsi" w:hAnsiTheme="minorHAnsi"/>
          <w:bCs/>
          <w:szCs w:val="24"/>
        </w:rPr>
        <w:t>over</w:t>
      </w:r>
      <w:r w:rsidR="003D3465" w:rsidRPr="00A97FD7">
        <w:rPr>
          <w:rFonts w:asciiTheme="minorHAnsi" w:hAnsiTheme="minorHAnsi"/>
          <w:bCs/>
          <w:szCs w:val="24"/>
        </w:rPr>
        <w:t>nment furnished property is</w:t>
      </w:r>
      <w:r w:rsidRPr="00A97FD7">
        <w:rPr>
          <w:rFonts w:asciiTheme="minorHAnsi" w:hAnsiTheme="minorHAnsi"/>
          <w:bCs/>
          <w:szCs w:val="24"/>
        </w:rPr>
        <w:t xml:space="preserve"> classified in one of two ways: 1) Installation Accountable Government Property</w:t>
      </w:r>
      <w:r w:rsidR="00B508AF" w:rsidRPr="00A97FD7">
        <w:rPr>
          <w:rFonts w:asciiTheme="minorHAnsi" w:hAnsiTheme="minorHAnsi"/>
          <w:bCs/>
          <w:szCs w:val="24"/>
        </w:rPr>
        <w:t>;</w:t>
      </w:r>
      <w:r w:rsidRPr="00A97FD7">
        <w:rPr>
          <w:rFonts w:asciiTheme="minorHAnsi" w:hAnsiTheme="minorHAnsi"/>
          <w:bCs/>
          <w:szCs w:val="24"/>
        </w:rPr>
        <w:t xml:space="preserve"> </w:t>
      </w:r>
      <w:r w:rsidR="003D3465" w:rsidRPr="00A97FD7">
        <w:rPr>
          <w:rFonts w:asciiTheme="minorHAnsi" w:hAnsiTheme="minorHAnsi"/>
          <w:bCs/>
          <w:szCs w:val="24"/>
        </w:rPr>
        <w:t>or</w:t>
      </w:r>
      <w:r w:rsidRPr="00A97FD7">
        <w:rPr>
          <w:rFonts w:asciiTheme="minorHAnsi" w:hAnsiTheme="minorHAnsi"/>
          <w:bCs/>
          <w:szCs w:val="24"/>
        </w:rPr>
        <w:t xml:space="preserve"> 2) Government furnished property.</w:t>
      </w:r>
    </w:p>
    <w:p w:rsidR="001E0445" w:rsidRPr="00A97FD7" w:rsidRDefault="001E0445" w:rsidP="00A97FD7">
      <w:pPr>
        <w:jc w:val="both"/>
        <w:rPr>
          <w:rFonts w:asciiTheme="minorHAnsi" w:hAnsiTheme="minorHAnsi"/>
          <w:bCs/>
          <w:szCs w:val="24"/>
        </w:rPr>
      </w:pPr>
    </w:p>
    <w:p w:rsidR="00B16F0E" w:rsidRPr="00A97FD7" w:rsidRDefault="001E0445" w:rsidP="00A97FD7">
      <w:pPr>
        <w:jc w:val="both"/>
        <w:rPr>
          <w:rFonts w:asciiTheme="minorHAnsi" w:hAnsiTheme="minorHAnsi"/>
          <w:bCs/>
          <w:szCs w:val="24"/>
        </w:rPr>
      </w:pPr>
      <w:r w:rsidRPr="00A97FD7">
        <w:rPr>
          <w:rFonts w:asciiTheme="minorHAnsi" w:hAnsiTheme="minorHAnsi"/>
          <w:bCs/>
          <w:i/>
          <w:szCs w:val="24"/>
        </w:rPr>
        <w:t>Installation Accountable Government Property</w:t>
      </w:r>
      <w:r w:rsidRPr="00A97FD7">
        <w:rPr>
          <w:rFonts w:asciiTheme="minorHAnsi" w:hAnsiTheme="minorHAnsi"/>
          <w:bCs/>
          <w:strike/>
          <w:szCs w:val="24"/>
        </w:rPr>
        <w:t>, also referred to as</w:t>
      </w:r>
      <w:r w:rsidRPr="00A97FD7">
        <w:rPr>
          <w:rFonts w:asciiTheme="minorHAnsi" w:hAnsiTheme="minorHAnsi"/>
          <w:bCs/>
          <w:szCs w:val="24"/>
        </w:rPr>
        <w:t xml:space="preserve"> </w:t>
      </w:r>
      <w:r w:rsidR="00A97FD7" w:rsidRPr="00A97FD7">
        <w:rPr>
          <w:rFonts w:asciiTheme="minorHAnsi" w:hAnsiTheme="minorHAnsi"/>
          <w:bCs/>
          <w:color w:val="FF0000"/>
          <w:szCs w:val="24"/>
        </w:rPr>
        <w:t>(</w:t>
      </w:r>
      <w:r w:rsidRPr="00A97FD7">
        <w:rPr>
          <w:rFonts w:asciiTheme="minorHAnsi" w:hAnsiTheme="minorHAnsi"/>
          <w:bCs/>
          <w:szCs w:val="24"/>
        </w:rPr>
        <w:t>IAGP</w:t>
      </w:r>
      <w:r w:rsidR="00A97FD7" w:rsidRPr="00A97FD7">
        <w:rPr>
          <w:rFonts w:asciiTheme="minorHAnsi" w:hAnsiTheme="minorHAnsi"/>
          <w:bCs/>
          <w:color w:val="FF0000"/>
          <w:szCs w:val="24"/>
        </w:rPr>
        <w:t>)</w:t>
      </w:r>
      <w:r w:rsidRPr="00A97FD7">
        <w:rPr>
          <w:rFonts w:asciiTheme="minorHAnsi" w:hAnsiTheme="minorHAnsi"/>
          <w:bCs/>
          <w:strike/>
          <w:szCs w:val="24"/>
        </w:rPr>
        <w:t>,</w:t>
      </w:r>
      <w:r w:rsidRPr="00A97FD7">
        <w:rPr>
          <w:rFonts w:asciiTheme="minorHAnsi" w:hAnsiTheme="minorHAnsi"/>
          <w:bCs/>
          <w:szCs w:val="24"/>
        </w:rPr>
        <w:t xml:space="preserve"> may be provided to contractors performing onsite at GSFC</w:t>
      </w:r>
      <w:r w:rsidR="00B16F0E" w:rsidRPr="00A97FD7">
        <w:rPr>
          <w:rFonts w:asciiTheme="minorHAnsi" w:hAnsiTheme="minorHAnsi"/>
          <w:bCs/>
          <w:szCs w:val="24"/>
        </w:rPr>
        <w:t xml:space="preserve"> or local offsite buildings owned or leased by NASA</w:t>
      </w:r>
      <w:r w:rsidRPr="00A97FD7">
        <w:rPr>
          <w:rFonts w:asciiTheme="minorHAnsi" w:hAnsiTheme="minorHAnsi"/>
          <w:bCs/>
          <w:szCs w:val="24"/>
        </w:rPr>
        <w:t>.</w:t>
      </w:r>
      <w:r w:rsidR="00B16F0E" w:rsidRPr="00A97FD7">
        <w:rPr>
          <w:rFonts w:asciiTheme="minorHAnsi" w:hAnsiTheme="minorHAnsi"/>
          <w:bCs/>
          <w:szCs w:val="24"/>
        </w:rPr>
        <w:t xml:space="preserve"> When IAGP is made available, the Government maintains accountability for the property.</w:t>
      </w:r>
      <w:r w:rsidRPr="00A97FD7">
        <w:rPr>
          <w:rFonts w:asciiTheme="minorHAnsi" w:hAnsiTheme="minorHAnsi"/>
          <w:bCs/>
          <w:szCs w:val="24"/>
        </w:rPr>
        <w:t xml:space="preserve"> </w:t>
      </w:r>
    </w:p>
    <w:p w:rsidR="00B16F0E" w:rsidRPr="00A97FD7" w:rsidRDefault="00B16F0E" w:rsidP="00A97FD7">
      <w:pPr>
        <w:jc w:val="both"/>
        <w:rPr>
          <w:rFonts w:asciiTheme="minorHAnsi" w:hAnsiTheme="minorHAnsi"/>
          <w:bCs/>
          <w:szCs w:val="24"/>
        </w:rPr>
      </w:pPr>
    </w:p>
    <w:p w:rsidR="001E0445" w:rsidRPr="00A97FD7" w:rsidRDefault="001E0445" w:rsidP="00A97FD7">
      <w:pPr>
        <w:jc w:val="both"/>
        <w:rPr>
          <w:rFonts w:asciiTheme="minorHAnsi" w:hAnsiTheme="minorHAnsi"/>
          <w:bCs/>
          <w:szCs w:val="24"/>
        </w:rPr>
      </w:pPr>
      <w:r w:rsidRPr="00A97FD7">
        <w:rPr>
          <w:rFonts w:asciiTheme="minorHAnsi" w:hAnsiTheme="minorHAnsi"/>
          <w:bCs/>
          <w:i/>
          <w:szCs w:val="24"/>
        </w:rPr>
        <w:t xml:space="preserve">Government </w:t>
      </w:r>
      <w:r w:rsidR="00A97FD7" w:rsidRPr="00A97FD7">
        <w:rPr>
          <w:rFonts w:asciiTheme="minorHAnsi" w:hAnsiTheme="minorHAnsi"/>
          <w:bCs/>
          <w:i/>
          <w:color w:val="FF0000"/>
          <w:szCs w:val="24"/>
        </w:rPr>
        <w:t>F</w:t>
      </w:r>
      <w:r w:rsidRPr="00A97FD7">
        <w:rPr>
          <w:rFonts w:asciiTheme="minorHAnsi" w:hAnsiTheme="minorHAnsi"/>
          <w:bCs/>
          <w:i/>
          <w:szCs w:val="24"/>
        </w:rPr>
        <w:t xml:space="preserve">urnished </w:t>
      </w:r>
      <w:r w:rsidR="00A97FD7" w:rsidRPr="00A97FD7">
        <w:rPr>
          <w:rFonts w:asciiTheme="minorHAnsi" w:hAnsiTheme="minorHAnsi"/>
          <w:bCs/>
          <w:i/>
          <w:color w:val="FF0000"/>
          <w:szCs w:val="24"/>
        </w:rPr>
        <w:t>P</w:t>
      </w:r>
      <w:r w:rsidRPr="00A97FD7">
        <w:rPr>
          <w:rFonts w:asciiTheme="minorHAnsi" w:hAnsiTheme="minorHAnsi"/>
          <w:bCs/>
          <w:i/>
          <w:szCs w:val="24"/>
        </w:rPr>
        <w:t>roperty</w:t>
      </w:r>
      <w:r w:rsidRPr="00A97FD7">
        <w:rPr>
          <w:rFonts w:asciiTheme="minorHAnsi" w:hAnsiTheme="minorHAnsi"/>
          <w:bCs/>
          <w:szCs w:val="24"/>
        </w:rPr>
        <w:t xml:space="preserve"> </w:t>
      </w:r>
      <w:r w:rsidR="00C548C1" w:rsidRPr="00A97FD7">
        <w:rPr>
          <w:rFonts w:asciiTheme="minorHAnsi" w:hAnsiTheme="minorHAnsi"/>
          <w:bCs/>
          <w:szCs w:val="24"/>
        </w:rPr>
        <w:t xml:space="preserve">(GFP) </w:t>
      </w:r>
      <w:r w:rsidRPr="00A97FD7">
        <w:rPr>
          <w:rFonts w:asciiTheme="minorHAnsi" w:hAnsiTheme="minorHAnsi"/>
          <w:bCs/>
          <w:szCs w:val="24"/>
        </w:rPr>
        <w:t>may be provided to contractors performing work off</w:t>
      </w:r>
      <w:r w:rsidR="0020170F" w:rsidRPr="00A97FD7">
        <w:rPr>
          <w:rFonts w:asciiTheme="minorHAnsi" w:hAnsiTheme="minorHAnsi"/>
          <w:bCs/>
          <w:szCs w:val="24"/>
        </w:rPr>
        <w:t xml:space="preserve"> </w:t>
      </w:r>
      <w:r w:rsidRPr="00A97FD7">
        <w:rPr>
          <w:rFonts w:asciiTheme="minorHAnsi" w:hAnsiTheme="minorHAnsi"/>
          <w:bCs/>
          <w:szCs w:val="24"/>
        </w:rPr>
        <w:t>center.</w:t>
      </w:r>
      <w:r w:rsidR="00C548C1" w:rsidRPr="00A97FD7">
        <w:rPr>
          <w:rFonts w:asciiTheme="minorHAnsi" w:hAnsiTheme="minorHAnsi"/>
          <w:bCs/>
          <w:szCs w:val="24"/>
        </w:rPr>
        <w:t xml:space="preserve"> Property provided as GFP remains accountable to the contractor during its use on the contract.</w:t>
      </w:r>
    </w:p>
    <w:p w:rsidR="00CC3A25" w:rsidRPr="00A97FD7" w:rsidRDefault="00CC3A25" w:rsidP="00A97FD7">
      <w:pPr>
        <w:jc w:val="both"/>
        <w:rPr>
          <w:rFonts w:asciiTheme="minorHAnsi" w:hAnsiTheme="minorHAnsi"/>
          <w:bCs/>
          <w:szCs w:val="24"/>
        </w:rPr>
      </w:pPr>
    </w:p>
    <w:p w:rsidR="00C548C1" w:rsidRPr="00A97FD7" w:rsidRDefault="00C548C1" w:rsidP="00A97FD7">
      <w:pPr>
        <w:jc w:val="both"/>
        <w:rPr>
          <w:rFonts w:asciiTheme="minorHAnsi" w:hAnsiTheme="minorHAnsi"/>
          <w:bCs/>
          <w:szCs w:val="24"/>
        </w:rPr>
      </w:pPr>
      <w:r w:rsidRPr="00A97FD7">
        <w:rPr>
          <w:rFonts w:asciiTheme="minorHAnsi" w:hAnsiTheme="minorHAnsi"/>
          <w:bCs/>
          <w:szCs w:val="24"/>
        </w:rPr>
        <w:t>Some contracts could include requirements with both onsite and offsite performance</w:t>
      </w:r>
      <w:r w:rsidR="00A97FD7" w:rsidRPr="00A97FD7">
        <w:rPr>
          <w:rFonts w:asciiTheme="minorHAnsi" w:hAnsiTheme="minorHAnsi"/>
          <w:bCs/>
          <w:color w:val="FF0000"/>
          <w:szCs w:val="24"/>
        </w:rPr>
        <w:t>;</w:t>
      </w:r>
      <w:r w:rsidRPr="00A97FD7">
        <w:rPr>
          <w:rFonts w:asciiTheme="minorHAnsi" w:hAnsiTheme="minorHAnsi"/>
          <w:bCs/>
          <w:szCs w:val="24"/>
        </w:rPr>
        <w:t xml:space="preserve"> </w:t>
      </w:r>
      <w:r w:rsidR="00541E18" w:rsidRPr="00A97FD7">
        <w:rPr>
          <w:rFonts w:asciiTheme="minorHAnsi" w:hAnsiTheme="minorHAnsi"/>
          <w:bCs/>
          <w:szCs w:val="24"/>
        </w:rPr>
        <w:t>therefore</w:t>
      </w:r>
      <w:r w:rsidR="00A97FD7" w:rsidRPr="00A97FD7">
        <w:rPr>
          <w:rFonts w:asciiTheme="minorHAnsi" w:hAnsiTheme="minorHAnsi"/>
          <w:bCs/>
          <w:color w:val="FF0000"/>
          <w:szCs w:val="24"/>
        </w:rPr>
        <w:t>,</w:t>
      </w:r>
      <w:r w:rsidRPr="00A97FD7">
        <w:rPr>
          <w:rFonts w:asciiTheme="minorHAnsi" w:hAnsiTheme="minorHAnsi"/>
          <w:bCs/>
          <w:szCs w:val="24"/>
        </w:rPr>
        <w:t xml:space="preserve"> property may be provided as both IAGP and as GFP.</w:t>
      </w:r>
    </w:p>
    <w:p w:rsidR="001E0445" w:rsidRDefault="001E0445" w:rsidP="00A97FD7">
      <w:pPr>
        <w:jc w:val="both"/>
        <w:rPr>
          <w:rFonts w:asciiTheme="minorHAnsi" w:hAnsiTheme="minorHAnsi"/>
          <w:bCs/>
          <w:szCs w:val="24"/>
        </w:rPr>
      </w:pPr>
    </w:p>
    <w:p w:rsidR="00C37F7A" w:rsidRPr="00A97FD7" w:rsidRDefault="00C37F7A" w:rsidP="00A97FD7">
      <w:pPr>
        <w:jc w:val="both"/>
        <w:rPr>
          <w:rFonts w:asciiTheme="minorHAnsi" w:hAnsiTheme="minorHAnsi"/>
          <w:bCs/>
          <w:szCs w:val="24"/>
          <w:u w:val="single"/>
        </w:rPr>
      </w:pPr>
      <w:r w:rsidRPr="00A97FD7">
        <w:rPr>
          <w:rFonts w:asciiTheme="minorHAnsi" w:hAnsiTheme="minorHAnsi"/>
          <w:bCs/>
          <w:szCs w:val="24"/>
          <w:u w:val="single"/>
        </w:rPr>
        <w:t>Regulations</w:t>
      </w:r>
    </w:p>
    <w:p w:rsidR="00C37F7A" w:rsidRPr="00A97FD7" w:rsidRDefault="00C37F7A" w:rsidP="00A97FD7">
      <w:pPr>
        <w:jc w:val="both"/>
        <w:rPr>
          <w:rFonts w:asciiTheme="minorHAnsi" w:hAnsiTheme="minorHAnsi"/>
          <w:bCs/>
          <w:szCs w:val="24"/>
        </w:rPr>
      </w:pPr>
    </w:p>
    <w:p w:rsidR="00CC3A25" w:rsidRPr="00A97FD7" w:rsidRDefault="00A97FD7" w:rsidP="00A97FD7">
      <w:pPr>
        <w:jc w:val="both"/>
        <w:rPr>
          <w:rFonts w:asciiTheme="minorHAnsi" w:hAnsiTheme="minorHAnsi"/>
          <w:bCs/>
          <w:szCs w:val="24"/>
        </w:rPr>
      </w:pPr>
      <w:hyperlink r:id="rId7" w:anchor="wp1023543" w:history="1">
        <w:r w:rsidR="00CC3A25" w:rsidRPr="00A97FD7">
          <w:rPr>
            <w:rStyle w:val="Hyperlink"/>
            <w:rFonts w:asciiTheme="minorHAnsi" w:hAnsiTheme="minorHAnsi"/>
            <w:bCs/>
            <w:szCs w:val="24"/>
          </w:rPr>
          <w:t>F</w:t>
        </w:r>
        <w:r w:rsidR="008B4FA5">
          <w:rPr>
            <w:rStyle w:val="Hyperlink"/>
            <w:rFonts w:asciiTheme="minorHAnsi" w:hAnsiTheme="minorHAnsi"/>
            <w:bCs/>
            <w:szCs w:val="24"/>
          </w:rPr>
          <w:t>ederal Acquisition Regulations (F</w:t>
        </w:r>
        <w:r w:rsidR="00CC3A25" w:rsidRPr="00A97FD7">
          <w:rPr>
            <w:rStyle w:val="Hyperlink"/>
            <w:rFonts w:asciiTheme="minorHAnsi" w:hAnsiTheme="minorHAnsi"/>
            <w:bCs/>
            <w:szCs w:val="24"/>
          </w:rPr>
          <w:t>AR</w:t>
        </w:r>
        <w:r w:rsidR="008B4FA5">
          <w:rPr>
            <w:rStyle w:val="Hyperlink"/>
            <w:rFonts w:asciiTheme="minorHAnsi" w:hAnsiTheme="minorHAnsi"/>
            <w:bCs/>
            <w:szCs w:val="24"/>
          </w:rPr>
          <w:t>)</w:t>
        </w:r>
        <w:r w:rsidR="00CC3A25" w:rsidRPr="00A97FD7">
          <w:rPr>
            <w:rStyle w:val="Hyperlink"/>
            <w:rFonts w:asciiTheme="minorHAnsi" w:hAnsiTheme="minorHAnsi"/>
            <w:bCs/>
            <w:szCs w:val="24"/>
          </w:rPr>
          <w:t xml:space="preserve"> Part 45</w:t>
        </w:r>
      </w:hyperlink>
      <w:r w:rsidR="00CC3A25" w:rsidRPr="00A97FD7">
        <w:rPr>
          <w:rFonts w:asciiTheme="minorHAnsi" w:hAnsiTheme="minorHAnsi"/>
          <w:bCs/>
          <w:szCs w:val="24"/>
        </w:rPr>
        <w:t xml:space="preserve"> and the </w:t>
      </w:r>
      <w:hyperlink r:id="rId8" w:history="1">
        <w:r w:rsidR="00CC3A25" w:rsidRPr="00A97FD7">
          <w:rPr>
            <w:rStyle w:val="Hyperlink"/>
            <w:rFonts w:asciiTheme="minorHAnsi" w:hAnsiTheme="minorHAnsi"/>
            <w:bCs/>
            <w:szCs w:val="24"/>
          </w:rPr>
          <w:t>NASA F</w:t>
        </w:r>
        <w:r w:rsidR="00C548C1" w:rsidRPr="00A97FD7">
          <w:rPr>
            <w:rStyle w:val="Hyperlink"/>
            <w:rFonts w:asciiTheme="minorHAnsi" w:hAnsiTheme="minorHAnsi"/>
            <w:bCs/>
            <w:szCs w:val="24"/>
          </w:rPr>
          <w:t>AR</w:t>
        </w:r>
        <w:r w:rsidR="00CC3A25" w:rsidRPr="00A97FD7">
          <w:rPr>
            <w:rStyle w:val="Hyperlink"/>
            <w:rFonts w:asciiTheme="minorHAnsi" w:hAnsiTheme="minorHAnsi"/>
            <w:bCs/>
            <w:szCs w:val="24"/>
          </w:rPr>
          <w:t xml:space="preserve"> Supplement Part 45</w:t>
        </w:r>
      </w:hyperlink>
      <w:r w:rsidR="00CC3A25" w:rsidRPr="00A97FD7">
        <w:rPr>
          <w:rFonts w:asciiTheme="minorHAnsi" w:hAnsiTheme="minorHAnsi"/>
          <w:bCs/>
          <w:szCs w:val="24"/>
        </w:rPr>
        <w:t xml:space="preserve"> sets forth the guidance for </w:t>
      </w:r>
      <w:r w:rsidR="008B4FA5">
        <w:rPr>
          <w:rFonts w:asciiTheme="minorHAnsi" w:hAnsiTheme="minorHAnsi"/>
          <w:bCs/>
          <w:szCs w:val="24"/>
        </w:rPr>
        <w:t xml:space="preserve">providing government property. </w:t>
      </w:r>
      <w:r w:rsidR="00CC3A25" w:rsidRPr="00A97FD7">
        <w:rPr>
          <w:rFonts w:asciiTheme="minorHAnsi" w:hAnsiTheme="minorHAnsi"/>
          <w:bCs/>
          <w:szCs w:val="24"/>
        </w:rPr>
        <w:t>Contractors are ordinarily required to furnish all property necessary to</w:t>
      </w:r>
      <w:r w:rsidR="008B4FA5">
        <w:rPr>
          <w:rFonts w:asciiTheme="minorHAnsi" w:hAnsiTheme="minorHAnsi"/>
          <w:bCs/>
          <w:szCs w:val="24"/>
        </w:rPr>
        <w:t xml:space="preserve"> perform Government contracts. </w:t>
      </w:r>
      <w:r w:rsidR="00CC3A25" w:rsidRPr="00A97FD7">
        <w:rPr>
          <w:rFonts w:asciiTheme="minorHAnsi" w:hAnsiTheme="minorHAnsi"/>
          <w:bCs/>
          <w:szCs w:val="24"/>
        </w:rPr>
        <w:t>The decision to provide property shall only be made after careful consideration of all relevant factors. Considerations should include the following:</w:t>
      </w:r>
    </w:p>
    <w:p w:rsidR="00F664CA" w:rsidRPr="00A97FD7" w:rsidRDefault="00F664CA" w:rsidP="00A97FD7">
      <w:pPr>
        <w:jc w:val="both"/>
        <w:rPr>
          <w:rFonts w:asciiTheme="minorHAnsi" w:hAnsiTheme="minorHAnsi"/>
          <w:bCs/>
          <w:szCs w:val="24"/>
        </w:rPr>
      </w:pPr>
    </w:p>
    <w:p w:rsidR="00F664CA" w:rsidRPr="00A97FD7" w:rsidRDefault="00F664CA" w:rsidP="00A97FD7">
      <w:pPr>
        <w:autoSpaceDE w:val="0"/>
        <w:autoSpaceDN w:val="0"/>
        <w:adjustRightInd w:val="0"/>
        <w:jc w:val="both"/>
        <w:rPr>
          <w:rFonts w:asciiTheme="minorHAnsi" w:eastAsiaTheme="minorHAnsi" w:hAnsiTheme="minorHAnsi"/>
          <w:szCs w:val="24"/>
        </w:rPr>
      </w:pPr>
      <w:r w:rsidRPr="00A97FD7">
        <w:rPr>
          <w:rFonts w:asciiTheme="minorHAnsi" w:eastAsiaTheme="minorHAnsi" w:hAnsiTheme="minorHAnsi"/>
          <w:szCs w:val="24"/>
        </w:rPr>
        <w:t>Providing Government property—</w:t>
      </w:r>
    </w:p>
    <w:p w:rsidR="00F664CA" w:rsidRPr="00A97FD7" w:rsidRDefault="00F664CA" w:rsidP="00A97FD7">
      <w:pPr>
        <w:autoSpaceDE w:val="0"/>
        <w:autoSpaceDN w:val="0"/>
        <w:adjustRightInd w:val="0"/>
        <w:ind w:left="720" w:hanging="720"/>
        <w:jc w:val="both"/>
        <w:rPr>
          <w:rFonts w:asciiTheme="minorHAnsi" w:eastAsiaTheme="minorHAnsi" w:hAnsiTheme="minorHAnsi"/>
          <w:szCs w:val="24"/>
        </w:rPr>
      </w:pPr>
      <w:r w:rsidRPr="00A97FD7">
        <w:rPr>
          <w:rFonts w:asciiTheme="minorHAnsi" w:eastAsiaTheme="minorHAnsi" w:hAnsiTheme="minorHAnsi"/>
          <w:szCs w:val="24"/>
        </w:rPr>
        <w:t>(1)</w:t>
      </w:r>
      <w:r w:rsidRPr="00A97FD7">
        <w:rPr>
          <w:rFonts w:asciiTheme="minorHAnsi" w:eastAsiaTheme="minorHAnsi" w:hAnsiTheme="minorHAnsi"/>
          <w:szCs w:val="24"/>
        </w:rPr>
        <w:tab/>
        <w:t>Increases the Government’s administrative burden and requires recordkeeping and personnel;</w:t>
      </w:r>
    </w:p>
    <w:p w:rsidR="00F664CA" w:rsidRPr="00A97FD7" w:rsidRDefault="00F664CA" w:rsidP="00A97FD7">
      <w:pPr>
        <w:autoSpaceDE w:val="0"/>
        <w:autoSpaceDN w:val="0"/>
        <w:adjustRightInd w:val="0"/>
        <w:ind w:left="720" w:hanging="720"/>
        <w:jc w:val="both"/>
        <w:rPr>
          <w:rFonts w:asciiTheme="minorHAnsi" w:eastAsiaTheme="minorHAnsi" w:hAnsiTheme="minorHAnsi"/>
          <w:szCs w:val="24"/>
        </w:rPr>
      </w:pPr>
      <w:r w:rsidRPr="00A97FD7">
        <w:rPr>
          <w:rFonts w:asciiTheme="minorHAnsi" w:eastAsiaTheme="minorHAnsi" w:hAnsiTheme="minorHAnsi"/>
          <w:szCs w:val="24"/>
        </w:rPr>
        <w:t>(2)</w:t>
      </w:r>
      <w:r w:rsidRPr="00A97FD7">
        <w:rPr>
          <w:rFonts w:asciiTheme="minorHAnsi" w:eastAsiaTheme="minorHAnsi" w:hAnsiTheme="minorHAnsi"/>
          <w:szCs w:val="24"/>
        </w:rPr>
        <w:tab/>
        <w:t>May dilute the contractor’s overall responsibility and weaken guarantees, end item delivery requirements, and other contract terms;</w:t>
      </w:r>
    </w:p>
    <w:p w:rsidR="00F664CA" w:rsidRPr="00A97FD7" w:rsidRDefault="00F664CA" w:rsidP="00A97FD7">
      <w:pPr>
        <w:autoSpaceDE w:val="0"/>
        <w:autoSpaceDN w:val="0"/>
        <w:adjustRightInd w:val="0"/>
        <w:ind w:left="720" w:hanging="720"/>
        <w:jc w:val="both"/>
        <w:rPr>
          <w:rFonts w:asciiTheme="minorHAnsi" w:eastAsiaTheme="minorHAnsi" w:hAnsiTheme="minorHAnsi"/>
          <w:szCs w:val="24"/>
        </w:rPr>
      </w:pPr>
      <w:r w:rsidRPr="00A97FD7">
        <w:rPr>
          <w:rFonts w:asciiTheme="minorHAnsi" w:eastAsiaTheme="minorHAnsi" w:hAnsiTheme="minorHAnsi"/>
          <w:szCs w:val="24"/>
        </w:rPr>
        <w:t>(3)</w:t>
      </w:r>
      <w:r w:rsidRPr="00A97FD7">
        <w:rPr>
          <w:rFonts w:asciiTheme="minorHAnsi" w:eastAsiaTheme="minorHAnsi" w:hAnsiTheme="minorHAnsi"/>
          <w:szCs w:val="24"/>
        </w:rPr>
        <w:tab/>
        <w:t>May make NASA responsible for delays in that the Agency assumes responsibility for scheduling delivery of the property and the operability of the property;</w:t>
      </w:r>
    </w:p>
    <w:p w:rsidR="00F664CA" w:rsidRPr="00A97FD7" w:rsidRDefault="00F664CA" w:rsidP="00A97FD7">
      <w:pPr>
        <w:autoSpaceDE w:val="0"/>
        <w:autoSpaceDN w:val="0"/>
        <w:adjustRightInd w:val="0"/>
        <w:ind w:left="720" w:hanging="720"/>
        <w:jc w:val="both"/>
        <w:rPr>
          <w:rFonts w:asciiTheme="minorHAnsi" w:eastAsiaTheme="minorHAnsi" w:hAnsiTheme="minorHAnsi"/>
          <w:szCs w:val="24"/>
        </w:rPr>
      </w:pPr>
      <w:r w:rsidRPr="00A97FD7">
        <w:rPr>
          <w:rFonts w:asciiTheme="minorHAnsi" w:eastAsiaTheme="minorHAnsi" w:hAnsiTheme="minorHAnsi"/>
          <w:szCs w:val="24"/>
        </w:rPr>
        <w:t>(4)</w:t>
      </w:r>
      <w:r w:rsidRPr="00A97FD7">
        <w:rPr>
          <w:rFonts w:asciiTheme="minorHAnsi" w:eastAsiaTheme="minorHAnsi" w:hAnsiTheme="minorHAnsi"/>
          <w:szCs w:val="24"/>
        </w:rPr>
        <w:tab/>
        <w:t>Carries its own inherent risk that the property may be lost, damaged, destroyed or misused, resulting in a loss of funds that could otherwise be used to support NASA’s mission;</w:t>
      </w:r>
      <w:r w:rsidR="00B508AF" w:rsidRPr="00A97FD7">
        <w:rPr>
          <w:rFonts w:asciiTheme="minorHAnsi" w:eastAsiaTheme="minorHAnsi" w:hAnsiTheme="minorHAnsi"/>
          <w:szCs w:val="24"/>
        </w:rPr>
        <w:t xml:space="preserve"> and</w:t>
      </w:r>
      <w:r w:rsidR="008B4FA5">
        <w:rPr>
          <w:rFonts w:asciiTheme="minorHAnsi" w:eastAsiaTheme="minorHAnsi" w:hAnsiTheme="minorHAnsi"/>
          <w:szCs w:val="24"/>
        </w:rPr>
        <w:t>,</w:t>
      </w:r>
    </w:p>
    <w:p w:rsidR="00F664CA" w:rsidRPr="00A97FD7" w:rsidRDefault="00F664CA" w:rsidP="00A97FD7">
      <w:pPr>
        <w:autoSpaceDE w:val="0"/>
        <w:autoSpaceDN w:val="0"/>
        <w:adjustRightInd w:val="0"/>
        <w:ind w:left="720" w:hanging="720"/>
        <w:jc w:val="both"/>
        <w:rPr>
          <w:rFonts w:asciiTheme="minorHAnsi" w:eastAsiaTheme="minorHAnsi" w:hAnsiTheme="minorHAnsi"/>
          <w:szCs w:val="24"/>
        </w:rPr>
      </w:pPr>
      <w:r w:rsidRPr="00A97FD7">
        <w:rPr>
          <w:rFonts w:asciiTheme="minorHAnsi" w:eastAsiaTheme="minorHAnsi" w:hAnsiTheme="minorHAnsi"/>
          <w:szCs w:val="24"/>
        </w:rPr>
        <w:t>(5)</w:t>
      </w:r>
      <w:r w:rsidRPr="00A97FD7">
        <w:rPr>
          <w:rFonts w:asciiTheme="minorHAnsi" w:eastAsiaTheme="minorHAnsi" w:hAnsiTheme="minorHAnsi"/>
          <w:szCs w:val="24"/>
        </w:rPr>
        <w:tab/>
        <w:t>When commercially available, may confer a competitive advantage to contractors who have not taken on the same investment risk as their competitors. Contractors who plan for the Government’s provision of commercially available equipment are passing those inv</w:t>
      </w:r>
      <w:r w:rsidR="00B508AF" w:rsidRPr="00A97FD7">
        <w:rPr>
          <w:rFonts w:asciiTheme="minorHAnsi" w:eastAsiaTheme="minorHAnsi" w:hAnsiTheme="minorHAnsi"/>
          <w:szCs w:val="24"/>
        </w:rPr>
        <w:t>estment risks to the Government.</w:t>
      </w:r>
    </w:p>
    <w:p w:rsidR="00F664CA" w:rsidRPr="00A97FD7" w:rsidRDefault="00F664CA" w:rsidP="00A97FD7">
      <w:pPr>
        <w:jc w:val="both"/>
        <w:rPr>
          <w:rFonts w:asciiTheme="minorHAnsi" w:hAnsiTheme="minorHAnsi"/>
          <w:bCs/>
          <w:szCs w:val="24"/>
        </w:rPr>
      </w:pPr>
    </w:p>
    <w:p w:rsidR="00CC3A25" w:rsidRPr="00A97FD7" w:rsidRDefault="00B508AF" w:rsidP="00A97FD7">
      <w:pPr>
        <w:jc w:val="both"/>
        <w:rPr>
          <w:rFonts w:asciiTheme="minorHAnsi" w:hAnsiTheme="minorHAnsi"/>
          <w:bCs/>
          <w:szCs w:val="24"/>
        </w:rPr>
      </w:pPr>
      <w:r w:rsidRPr="00A97FD7">
        <w:rPr>
          <w:rFonts w:asciiTheme="minorHAnsi" w:hAnsiTheme="minorHAnsi"/>
          <w:bCs/>
          <w:szCs w:val="24"/>
        </w:rPr>
        <w:t>For these reasons, p</w:t>
      </w:r>
      <w:r w:rsidR="00CC3A25" w:rsidRPr="00A97FD7">
        <w:rPr>
          <w:rFonts w:asciiTheme="minorHAnsi" w:hAnsiTheme="minorHAnsi"/>
          <w:bCs/>
          <w:szCs w:val="24"/>
        </w:rPr>
        <w:t xml:space="preserve">roperty shall only be provided to Contractors when </w:t>
      </w:r>
      <w:r w:rsidRPr="00A97FD7">
        <w:rPr>
          <w:rFonts w:asciiTheme="minorHAnsi" w:hAnsiTheme="minorHAnsi"/>
          <w:bCs/>
          <w:szCs w:val="24"/>
        </w:rPr>
        <w:t>it is clearly demonstrated that i</w:t>
      </w:r>
      <w:r w:rsidR="00CC3A25" w:rsidRPr="00A97FD7">
        <w:rPr>
          <w:rFonts w:asciiTheme="minorHAnsi" w:hAnsiTheme="minorHAnsi"/>
          <w:bCs/>
          <w:szCs w:val="24"/>
        </w:rPr>
        <w:t>t is in the Government’s best interest;</w:t>
      </w:r>
      <w:r w:rsidRPr="00A97FD7">
        <w:rPr>
          <w:rFonts w:asciiTheme="minorHAnsi" w:hAnsiTheme="minorHAnsi"/>
          <w:bCs/>
          <w:szCs w:val="24"/>
        </w:rPr>
        <w:t xml:space="preserve"> t</w:t>
      </w:r>
      <w:r w:rsidR="00CC3A25" w:rsidRPr="00A97FD7">
        <w:rPr>
          <w:rFonts w:asciiTheme="minorHAnsi" w:hAnsiTheme="minorHAnsi"/>
          <w:bCs/>
          <w:szCs w:val="24"/>
        </w:rPr>
        <w:t>he overall benefit to the acquisition significantly outweighs the increased cost of administration, including ultimate property disposal;</w:t>
      </w:r>
      <w:r w:rsidRPr="00A97FD7">
        <w:rPr>
          <w:rFonts w:asciiTheme="minorHAnsi" w:hAnsiTheme="minorHAnsi"/>
          <w:bCs/>
          <w:szCs w:val="24"/>
        </w:rPr>
        <w:t xml:space="preserve"> p</w:t>
      </w:r>
      <w:r w:rsidR="00CC3A25" w:rsidRPr="00A97FD7">
        <w:rPr>
          <w:rFonts w:asciiTheme="minorHAnsi" w:hAnsiTheme="minorHAnsi"/>
          <w:bCs/>
          <w:szCs w:val="24"/>
        </w:rPr>
        <w:t>roviding the property does not substantially increase the Government’s assumption of risk;</w:t>
      </w:r>
      <w:r w:rsidRPr="00A97FD7">
        <w:rPr>
          <w:rFonts w:asciiTheme="minorHAnsi" w:hAnsiTheme="minorHAnsi"/>
          <w:bCs/>
          <w:szCs w:val="24"/>
        </w:rPr>
        <w:t xml:space="preserve"> and t</w:t>
      </w:r>
      <w:r w:rsidR="00CC3A25" w:rsidRPr="00A97FD7">
        <w:rPr>
          <w:rFonts w:asciiTheme="minorHAnsi" w:hAnsiTheme="minorHAnsi"/>
          <w:bCs/>
          <w:szCs w:val="24"/>
        </w:rPr>
        <w:t>he Government requirements cannot otherwise be met.</w:t>
      </w:r>
    </w:p>
    <w:p w:rsidR="00B508AF" w:rsidRPr="00A97FD7" w:rsidRDefault="00B508AF" w:rsidP="00A97FD7">
      <w:pPr>
        <w:jc w:val="both"/>
        <w:rPr>
          <w:rFonts w:asciiTheme="minorHAnsi" w:hAnsiTheme="minorHAnsi"/>
          <w:bCs/>
          <w:szCs w:val="24"/>
        </w:rPr>
      </w:pPr>
    </w:p>
    <w:p w:rsidR="00CC3A25" w:rsidRPr="00A97FD7" w:rsidRDefault="00B508AF" w:rsidP="00A97FD7">
      <w:pPr>
        <w:jc w:val="both"/>
        <w:rPr>
          <w:rFonts w:asciiTheme="minorHAnsi" w:hAnsiTheme="minorHAnsi"/>
          <w:bCs/>
          <w:szCs w:val="24"/>
        </w:rPr>
      </w:pPr>
      <w:r w:rsidRPr="00A97FD7">
        <w:rPr>
          <w:rFonts w:asciiTheme="minorHAnsi" w:hAnsiTheme="minorHAnsi"/>
          <w:bCs/>
          <w:szCs w:val="24"/>
        </w:rPr>
        <w:t>Remember that a c</w:t>
      </w:r>
      <w:r w:rsidR="00CC3A25" w:rsidRPr="00A97FD7">
        <w:rPr>
          <w:rFonts w:asciiTheme="minorHAnsi" w:hAnsiTheme="minorHAnsi"/>
          <w:bCs/>
          <w:szCs w:val="24"/>
        </w:rPr>
        <w:t xml:space="preserve">ontractor’s inability or unwillingness to supply its own resources is not sufficient reason for the furnishing or acquisition of property. </w:t>
      </w:r>
    </w:p>
    <w:p w:rsidR="003B2E10" w:rsidRPr="00A97FD7" w:rsidRDefault="003B2E10" w:rsidP="00A97FD7">
      <w:pPr>
        <w:jc w:val="both"/>
        <w:rPr>
          <w:rFonts w:asciiTheme="minorHAnsi" w:hAnsiTheme="minorHAnsi"/>
          <w:bCs/>
          <w:szCs w:val="24"/>
        </w:rPr>
      </w:pPr>
    </w:p>
    <w:p w:rsidR="00C37F7A" w:rsidRPr="00A97FD7" w:rsidRDefault="00C37F7A" w:rsidP="00A97FD7">
      <w:pPr>
        <w:jc w:val="both"/>
        <w:rPr>
          <w:rFonts w:asciiTheme="minorHAnsi" w:hAnsiTheme="minorHAnsi"/>
          <w:bCs/>
          <w:szCs w:val="24"/>
          <w:u w:val="single"/>
        </w:rPr>
      </w:pPr>
      <w:r w:rsidRPr="00A97FD7">
        <w:rPr>
          <w:rFonts w:asciiTheme="minorHAnsi" w:hAnsiTheme="minorHAnsi"/>
          <w:bCs/>
          <w:szCs w:val="24"/>
          <w:u w:val="single"/>
        </w:rPr>
        <w:t>Information to Submit</w:t>
      </w:r>
    </w:p>
    <w:p w:rsidR="00C37F7A" w:rsidRPr="00A97FD7" w:rsidRDefault="00C37F7A" w:rsidP="00A97FD7">
      <w:pPr>
        <w:jc w:val="both"/>
        <w:rPr>
          <w:rFonts w:asciiTheme="minorHAnsi" w:hAnsiTheme="minorHAnsi"/>
          <w:bCs/>
          <w:szCs w:val="24"/>
        </w:rPr>
      </w:pPr>
    </w:p>
    <w:p w:rsidR="00AE0532" w:rsidRPr="00A97FD7" w:rsidRDefault="00CC3A25" w:rsidP="00A97FD7">
      <w:pPr>
        <w:jc w:val="both"/>
        <w:rPr>
          <w:rFonts w:asciiTheme="minorHAnsi" w:hAnsiTheme="minorHAnsi"/>
          <w:bCs/>
          <w:szCs w:val="24"/>
        </w:rPr>
      </w:pPr>
      <w:r w:rsidRPr="00A97FD7">
        <w:rPr>
          <w:rFonts w:asciiTheme="minorHAnsi" w:hAnsiTheme="minorHAnsi"/>
          <w:bCs/>
          <w:szCs w:val="24"/>
        </w:rPr>
        <w:t>If a determination is made that it is in the Government’s best interest to provide property, a listing of the Government property to be provided shall be set forth in the solicitation.</w:t>
      </w:r>
      <w:r w:rsidR="003E3F2F" w:rsidRPr="00A97FD7">
        <w:rPr>
          <w:rFonts w:asciiTheme="minorHAnsi" w:hAnsiTheme="minorHAnsi"/>
          <w:bCs/>
          <w:szCs w:val="24"/>
        </w:rPr>
        <w:t xml:space="preserve"> The list(s) of GFP and/or IAGP are submitted to the procurement office as part </w:t>
      </w:r>
      <w:r w:rsidR="00541E18" w:rsidRPr="00A97FD7">
        <w:rPr>
          <w:rFonts w:asciiTheme="minorHAnsi" w:hAnsiTheme="minorHAnsi"/>
          <w:bCs/>
          <w:szCs w:val="24"/>
        </w:rPr>
        <w:t>of the acquisition package</w:t>
      </w:r>
      <w:r w:rsidR="003E3F2F" w:rsidRPr="00A97FD7">
        <w:rPr>
          <w:rFonts w:asciiTheme="minorHAnsi" w:hAnsiTheme="minorHAnsi"/>
          <w:bCs/>
          <w:szCs w:val="24"/>
        </w:rPr>
        <w:t xml:space="preserve">. </w:t>
      </w:r>
      <w:r w:rsidR="00541E18" w:rsidRPr="00A97FD7">
        <w:rPr>
          <w:rFonts w:asciiTheme="minorHAnsi" w:hAnsiTheme="minorHAnsi"/>
          <w:bCs/>
          <w:szCs w:val="24"/>
        </w:rPr>
        <w:t>If both GFP and IAGP are being provided, there should be two separate lists as the lists will appear as two separate attachments in the solicitation and contract.</w:t>
      </w:r>
      <w:r w:rsidR="003E3F2F" w:rsidRPr="00A97FD7">
        <w:rPr>
          <w:rFonts w:asciiTheme="minorHAnsi" w:hAnsiTheme="minorHAnsi"/>
          <w:bCs/>
          <w:szCs w:val="24"/>
        </w:rPr>
        <w:t xml:space="preserve"> Be sure to identify if the list is GFP or IAGP.</w:t>
      </w:r>
    </w:p>
    <w:p w:rsidR="00541E18" w:rsidRPr="00A97FD7" w:rsidRDefault="00541E18" w:rsidP="00A97FD7">
      <w:pPr>
        <w:jc w:val="both"/>
        <w:rPr>
          <w:rFonts w:asciiTheme="minorHAnsi" w:hAnsiTheme="minorHAnsi"/>
          <w:bCs/>
          <w:szCs w:val="24"/>
        </w:rPr>
      </w:pPr>
    </w:p>
    <w:p w:rsidR="00CC3A25" w:rsidRPr="00A97FD7" w:rsidRDefault="00944213" w:rsidP="00A97FD7">
      <w:pPr>
        <w:jc w:val="both"/>
        <w:rPr>
          <w:rFonts w:asciiTheme="minorHAnsi" w:hAnsiTheme="minorHAnsi"/>
          <w:bCs/>
          <w:szCs w:val="24"/>
        </w:rPr>
      </w:pPr>
      <w:r w:rsidRPr="00A97FD7">
        <w:rPr>
          <w:rFonts w:asciiTheme="minorHAnsi" w:hAnsiTheme="minorHAnsi"/>
          <w:bCs/>
          <w:szCs w:val="24"/>
        </w:rPr>
        <w:t>To ensure all required information is submitted, the following template</w:t>
      </w:r>
      <w:r w:rsidR="003B2E10">
        <w:rPr>
          <w:rFonts w:asciiTheme="minorHAnsi" w:hAnsiTheme="minorHAnsi"/>
          <w:bCs/>
          <w:szCs w:val="24"/>
        </w:rPr>
        <w:t xml:space="preserve"> </w:t>
      </w:r>
      <w:r w:rsidR="003E3F2F" w:rsidRPr="00A97FD7">
        <w:rPr>
          <w:rFonts w:asciiTheme="minorHAnsi" w:hAnsiTheme="minorHAnsi"/>
          <w:bCs/>
          <w:szCs w:val="24"/>
        </w:rPr>
        <w:t xml:space="preserve">should be used and submitted with the acquisition package. </w:t>
      </w:r>
    </w:p>
    <w:p w:rsidR="007C259B" w:rsidRDefault="007C259B" w:rsidP="00A97FD7">
      <w:pPr>
        <w:tabs>
          <w:tab w:val="left" w:pos="240"/>
          <w:tab w:val="left" w:pos="720"/>
        </w:tabs>
        <w:jc w:val="both"/>
        <w:rPr>
          <w:rFonts w:asciiTheme="minorHAnsi" w:hAnsiTheme="minorHAnsi"/>
          <w:spacing w:val="-2"/>
          <w:szCs w:val="24"/>
          <w:highlight w:val="green"/>
        </w:rPr>
      </w:pPr>
    </w:p>
    <w:tbl>
      <w:tblPr>
        <w:tblW w:w="94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136"/>
        <w:gridCol w:w="1349"/>
        <w:gridCol w:w="1333"/>
        <w:gridCol w:w="1080"/>
        <w:gridCol w:w="1577"/>
        <w:gridCol w:w="860"/>
        <w:gridCol w:w="1115"/>
      </w:tblGrid>
      <w:tr w:rsidR="007C259B" w:rsidRPr="00A97FD7" w:rsidTr="006043FA">
        <w:tc>
          <w:tcPr>
            <w:tcW w:w="2160" w:type="dxa"/>
            <w:vMerge w:val="restart"/>
            <w:tcBorders>
              <w:top w:val="single" w:sz="12" w:space="0" w:color="auto"/>
              <w:left w:val="single" w:sz="12" w:space="0" w:color="auto"/>
              <w:right w:val="single" w:sz="4" w:space="0" w:color="auto"/>
            </w:tcBorders>
            <w:vAlign w:val="center"/>
          </w:tcPr>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Item</w:t>
            </w:r>
          </w:p>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Description</w:t>
            </w:r>
          </w:p>
        </w:tc>
        <w:tc>
          <w:tcPr>
            <w:tcW w:w="1350" w:type="dxa"/>
            <w:vMerge w:val="restart"/>
            <w:tcBorders>
              <w:top w:val="single" w:sz="12" w:space="0" w:color="auto"/>
              <w:left w:val="single" w:sz="4" w:space="0" w:color="auto"/>
              <w:right w:val="single" w:sz="4" w:space="0" w:color="auto"/>
            </w:tcBorders>
            <w:vAlign w:val="center"/>
          </w:tcPr>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Acquisition</w:t>
            </w:r>
          </w:p>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Date</w:t>
            </w:r>
          </w:p>
        </w:tc>
        <w:tc>
          <w:tcPr>
            <w:tcW w:w="1334" w:type="dxa"/>
            <w:vMerge w:val="restart"/>
            <w:tcBorders>
              <w:top w:val="single" w:sz="12" w:space="0" w:color="auto"/>
              <w:left w:val="single" w:sz="4" w:space="0" w:color="auto"/>
              <w:right w:val="single" w:sz="4" w:space="0" w:color="auto"/>
            </w:tcBorders>
            <w:vAlign w:val="center"/>
          </w:tcPr>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Acquisition</w:t>
            </w:r>
          </w:p>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Cost</w:t>
            </w:r>
          </w:p>
        </w:tc>
        <w:tc>
          <w:tcPr>
            <w:tcW w:w="1080" w:type="dxa"/>
            <w:vMerge w:val="restart"/>
            <w:tcBorders>
              <w:top w:val="single" w:sz="12" w:space="0" w:color="auto"/>
              <w:left w:val="single" w:sz="4" w:space="0" w:color="auto"/>
              <w:right w:val="single" w:sz="4" w:space="0" w:color="auto"/>
            </w:tcBorders>
            <w:vAlign w:val="center"/>
          </w:tcPr>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Quantity</w:t>
            </w:r>
          </w:p>
        </w:tc>
        <w:tc>
          <w:tcPr>
            <w:tcW w:w="3526" w:type="dxa"/>
            <w:gridSpan w:val="3"/>
            <w:tcBorders>
              <w:top w:val="single" w:sz="12" w:space="0" w:color="auto"/>
              <w:left w:val="single" w:sz="4" w:space="0" w:color="auto"/>
              <w:bottom w:val="single" w:sz="4" w:space="0" w:color="auto"/>
              <w:right w:val="single" w:sz="12" w:space="0" w:color="auto"/>
            </w:tcBorders>
            <w:vAlign w:val="center"/>
          </w:tcPr>
          <w:p w:rsidR="007C259B" w:rsidRPr="00A97FD7" w:rsidRDefault="007C259B" w:rsidP="006043FA">
            <w:pPr>
              <w:tabs>
                <w:tab w:val="left" w:pos="240"/>
                <w:tab w:val="left" w:pos="720"/>
              </w:tabs>
              <w:jc w:val="center"/>
              <w:rPr>
                <w:rFonts w:asciiTheme="minorHAnsi" w:hAnsiTheme="minorHAnsi"/>
                <w:b/>
                <w:spacing w:val="-2"/>
                <w:szCs w:val="24"/>
              </w:rPr>
            </w:pPr>
            <w:r w:rsidRPr="00A97FD7">
              <w:rPr>
                <w:rFonts w:asciiTheme="minorHAnsi" w:hAnsiTheme="minorHAnsi"/>
                <w:b/>
                <w:spacing w:val="-2"/>
                <w:szCs w:val="24"/>
              </w:rPr>
              <w:t>If Equipment</w:t>
            </w:r>
            <w:r>
              <w:rPr>
                <w:rFonts w:asciiTheme="minorHAnsi" w:hAnsiTheme="minorHAnsi"/>
                <w:b/>
                <w:spacing w:val="-2"/>
                <w:szCs w:val="24"/>
              </w:rPr>
              <w:t>:</w:t>
            </w:r>
          </w:p>
        </w:tc>
      </w:tr>
      <w:tr w:rsidR="007C259B" w:rsidRPr="00A97FD7" w:rsidTr="006043FA">
        <w:tc>
          <w:tcPr>
            <w:tcW w:w="2160" w:type="dxa"/>
            <w:vMerge/>
            <w:tcBorders>
              <w:left w:val="single" w:sz="12" w:space="0" w:color="auto"/>
              <w:bottom w:val="single" w:sz="12" w:space="0" w:color="auto"/>
              <w:right w:val="single" w:sz="4" w:space="0" w:color="auto"/>
            </w:tcBorders>
            <w:shd w:val="clear" w:color="auto" w:fill="D9D9D9" w:themeFill="background1" w:themeFillShade="D9"/>
            <w:vAlign w:val="center"/>
          </w:tcPr>
          <w:p w:rsidR="007C259B" w:rsidRPr="00A97FD7" w:rsidRDefault="007C259B" w:rsidP="006043FA">
            <w:pPr>
              <w:tabs>
                <w:tab w:val="left" w:pos="240"/>
                <w:tab w:val="left" w:pos="720"/>
              </w:tabs>
              <w:jc w:val="center"/>
              <w:rPr>
                <w:rFonts w:asciiTheme="minorHAnsi" w:hAnsiTheme="minorHAnsi"/>
                <w:spacing w:val="-2"/>
                <w:szCs w:val="24"/>
              </w:rPr>
            </w:pPr>
          </w:p>
        </w:tc>
        <w:tc>
          <w:tcPr>
            <w:tcW w:w="1350"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7C259B" w:rsidRPr="00A97FD7" w:rsidRDefault="007C259B" w:rsidP="006043FA">
            <w:pPr>
              <w:tabs>
                <w:tab w:val="left" w:pos="240"/>
                <w:tab w:val="left" w:pos="720"/>
              </w:tabs>
              <w:jc w:val="center"/>
              <w:rPr>
                <w:rFonts w:asciiTheme="minorHAnsi" w:hAnsiTheme="minorHAnsi"/>
                <w:spacing w:val="-2"/>
                <w:szCs w:val="24"/>
                <w:highlight w:val="lightGray"/>
              </w:rPr>
            </w:pPr>
          </w:p>
        </w:tc>
        <w:tc>
          <w:tcPr>
            <w:tcW w:w="1334"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7C259B" w:rsidRPr="00A97FD7" w:rsidRDefault="007C259B" w:rsidP="006043FA">
            <w:pPr>
              <w:tabs>
                <w:tab w:val="left" w:pos="240"/>
                <w:tab w:val="left" w:pos="720"/>
              </w:tabs>
              <w:jc w:val="center"/>
              <w:rPr>
                <w:rFonts w:asciiTheme="minorHAnsi" w:hAnsiTheme="minorHAnsi"/>
                <w:spacing w:val="-2"/>
                <w:szCs w:val="24"/>
                <w:highlight w:val="lightGray"/>
              </w:rPr>
            </w:pPr>
          </w:p>
        </w:tc>
        <w:tc>
          <w:tcPr>
            <w:tcW w:w="1080" w:type="dxa"/>
            <w:vMerge/>
            <w:tcBorders>
              <w:left w:val="single" w:sz="4" w:space="0" w:color="auto"/>
              <w:bottom w:val="single" w:sz="12" w:space="0" w:color="auto"/>
              <w:right w:val="single" w:sz="4" w:space="0" w:color="auto"/>
            </w:tcBorders>
            <w:shd w:val="clear" w:color="auto" w:fill="D9D9D9" w:themeFill="background1" w:themeFillShade="D9"/>
            <w:vAlign w:val="center"/>
          </w:tcPr>
          <w:p w:rsidR="007C259B" w:rsidRPr="00A97FD7" w:rsidRDefault="007C259B" w:rsidP="006043FA">
            <w:pPr>
              <w:tabs>
                <w:tab w:val="left" w:pos="240"/>
                <w:tab w:val="left" w:pos="720"/>
              </w:tabs>
              <w:jc w:val="center"/>
              <w:rPr>
                <w:rFonts w:asciiTheme="minorHAnsi" w:hAnsiTheme="minorHAnsi"/>
                <w:spacing w:val="-2"/>
                <w:szCs w:val="24"/>
                <w:highlight w:val="lightGray"/>
              </w:rPr>
            </w:pPr>
          </w:p>
        </w:tc>
        <w:tc>
          <w:tcPr>
            <w:tcW w:w="1548" w:type="dxa"/>
            <w:tcBorders>
              <w:top w:val="single" w:sz="4" w:space="0" w:color="auto"/>
              <w:left w:val="single" w:sz="4" w:space="0" w:color="auto"/>
              <w:bottom w:val="single" w:sz="12" w:space="0" w:color="auto"/>
              <w:right w:val="single" w:sz="4" w:space="0" w:color="auto"/>
            </w:tcBorders>
            <w:vAlign w:val="center"/>
          </w:tcPr>
          <w:p w:rsidR="007C259B" w:rsidRPr="003B2E10" w:rsidRDefault="007C259B" w:rsidP="006043FA">
            <w:pPr>
              <w:tabs>
                <w:tab w:val="left" w:pos="240"/>
                <w:tab w:val="left" w:pos="720"/>
              </w:tabs>
              <w:jc w:val="center"/>
              <w:rPr>
                <w:rFonts w:asciiTheme="minorHAnsi" w:hAnsiTheme="minorHAnsi"/>
                <w:b/>
                <w:spacing w:val="-2"/>
                <w:szCs w:val="24"/>
              </w:rPr>
            </w:pPr>
            <w:r w:rsidRPr="003B2E10">
              <w:rPr>
                <w:rFonts w:asciiTheme="minorHAnsi" w:hAnsiTheme="minorHAnsi"/>
                <w:b/>
                <w:spacing w:val="-2"/>
                <w:szCs w:val="24"/>
              </w:rPr>
              <w:t>Manufacturer</w:t>
            </w:r>
          </w:p>
        </w:tc>
        <w:tc>
          <w:tcPr>
            <w:tcW w:w="860" w:type="dxa"/>
            <w:tcBorders>
              <w:top w:val="single" w:sz="4" w:space="0" w:color="auto"/>
              <w:left w:val="single" w:sz="4" w:space="0" w:color="auto"/>
              <w:bottom w:val="single" w:sz="12" w:space="0" w:color="auto"/>
              <w:right w:val="single" w:sz="4" w:space="0" w:color="auto"/>
            </w:tcBorders>
            <w:vAlign w:val="center"/>
          </w:tcPr>
          <w:p w:rsidR="007C259B" w:rsidRPr="003B2E10" w:rsidRDefault="007C259B" w:rsidP="006043FA">
            <w:pPr>
              <w:tabs>
                <w:tab w:val="left" w:pos="240"/>
                <w:tab w:val="left" w:pos="720"/>
              </w:tabs>
              <w:jc w:val="center"/>
              <w:rPr>
                <w:rFonts w:asciiTheme="minorHAnsi" w:hAnsiTheme="minorHAnsi"/>
                <w:b/>
                <w:spacing w:val="-2"/>
                <w:szCs w:val="24"/>
              </w:rPr>
            </w:pPr>
            <w:r w:rsidRPr="003B2E10">
              <w:rPr>
                <w:rFonts w:asciiTheme="minorHAnsi" w:hAnsiTheme="minorHAnsi"/>
                <w:b/>
                <w:spacing w:val="-2"/>
                <w:szCs w:val="24"/>
              </w:rPr>
              <w:t>Model</w:t>
            </w:r>
          </w:p>
        </w:tc>
        <w:tc>
          <w:tcPr>
            <w:tcW w:w="1118" w:type="dxa"/>
            <w:tcBorders>
              <w:top w:val="single" w:sz="4" w:space="0" w:color="auto"/>
              <w:left w:val="single" w:sz="4" w:space="0" w:color="auto"/>
              <w:bottom w:val="single" w:sz="12" w:space="0" w:color="auto"/>
              <w:right w:val="single" w:sz="12" w:space="0" w:color="auto"/>
            </w:tcBorders>
            <w:vAlign w:val="center"/>
          </w:tcPr>
          <w:p w:rsidR="007C259B" w:rsidRPr="003B2E10" w:rsidRDefault="007C259B" w:rsidP="006043FA">
            <w:pPr>
              <w:tabs>
                <w:tab w:val="left" w:pos="240"/>
                <w:tab w:val="left" w:pos="720"/>
              </w:tabs>
              <w:jc w:val="center"/>
              <w:rPr>
                <w:rFonts w:asciiTheme="minorHAnsi" w:hAnsiTheme="minorHAnsi"/>
                <w:b/>
                <w:spacing w:val="-2"/>
                <w:szCs w:val="24"/>
              </w:rPr>
            </w:pPr>
            <w:r w:rsidRPr="003B2E10">
              <w:rPr>
                <w:rFonts w:asciiTheme="minorHAnsi" w:hAnsiTheme="minorHAnsi"/>
                <w:b/>
                <w:spacing w:val="-2"/>
                <w:szCs w:val="24"/>
              </w:rPr>
              <w:t>Serial</w:t>
            </w:r>
          </w:p>
          <w:p w:rsidR="007C259B" w:rsidRPr="003B2E10" w:rsidRDefault="007C259B" w:rsidP="006043FA">
            <w:pPr>
              <w:tabs>
                <w:tab w:val="left" w:pos="240"/>
                <w:tab w:val="left" w:pos="720"/>
              </w:tabs>
              <w:jc w:val="center"/>
              <w:rPr>
                <w:rFonts w:asciiTheme="minorHAnsi" w:hAnsiTheme="minorHAnsi"/>
                <w:b/>
                <w:spacing w:val="-2"/>
                <w:szCs w:val="24"/>
              </w:rPr>
            </w:pPr>
            <w:r w:rsidRPr="003B2E10">
              <w:rPr>
                <w:rFonts w:asciiTheme="minorHAnsi" w:hAnsiTheme="minorHAnsi"/>
                <w:b/>
                <w:spacing w:val="-2"/>
                <w:szCs w:val="24"/>
              </w:rPr>
              <w:t>Number</w:t>
            </w:r>
          </w:p>
        </w:tc>
      </w:tr>
      <w:tr w:rsidR="007C259B" w:rsidRPr="00A97FD7" w:rsidTr="006043FA">
        <w:tc>
          <w:tcPr>
            <w:tcW w:w="2160" w:type="dxa"/>
            <w:tcBorders>
              <w:top w:val="single" w:sz="12"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12"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12"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12"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12"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12"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12"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4"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4"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r w:rsidR="007C259B" w:rsidRPr="00A97FD7" w:rsidTr="006043FA">
        <w:tc>
          <w:tcPr>
            <w:tcW w:w="2160" w:type="dxa"/>
            <w:tcBorders>
              <w:top w:val="single" w:sz="4" w:space="0" w:color="auto"/>
              <w:left w:val="single" w:sz="12"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50" w:type="dxa"/>
            <w:tcBorders>
              <w:top w:val="single" w:sz="4" w:space="0" w:color="auto"/>
              <w:left w:val="single" w:sz="4"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334" w:type="dxa"/>
            <w:tcBorders>
              <w:top w:val="single" w:sz="4" w:space="0" w:color="auto"/>
              <w:left w:val="single" w:sz="4"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080" w:type="dxa"/>
            <w:tcBorders>
              <w:top w:val="single" w:sz="4" w:space="0" w:color="auto"/>
              <w:left w:val="single" w:sz="4"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548" w:type="dxa"/>
            <w:tcBorders>
              <w:top w:val="single" w:sz="4" w:space="0" w:color="auto"/>
              <w:left w:val="single" w:sz="4"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860" w:type="dxa"/>
            <w:tcBorders>
              <w:top w:val="single" w:sz="4" w:space="0" w:color="auto"/>
              <w:left w:val="single" w:sz="4" w:space="0" w:color="auto"/>
              <w:bottom w:val="single" w:sz="12" w:space="0" w:color="auto"/>
              <w:right w:val="single" w:sz="4"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c>
          <w:tcPr>
            <w:tcW w:w="1118" w:type="dxa"/>
            <w:tcBorders>
              <w:top w:val="single" w:sz="4" w:space="0" w:color="auto"/>
              <w:left w:val="single" w:sz="4" w:space="0" w:color="auto"/>
              <w:bottom w:val="single" w:sz="12" w:space="0" w:color="auto"/>
              <w:right w:val="single" w:sz="12" w:space="0" w:color="auto"/>
            </w:tcBorders>
          </w:tcPr>
          <w:p w:rsidR="007C259B" w:rsidRPr="00A97FD7" w:rsidRDefault="007C259B" w:rsidP="006043FA">
            <w:pPr>
              <w:tabs>
                <w:tab w:val="left" w:pos="240"/>
                <w:tab w:val="left" w:pos="720"/>
              </w:tabs>
              <w:jc w:val="both"/>
              <w:rPr>
                <w:rFonts w:asciiTheme="minorHAnsi" w:hAnsiTheme="minorHAnsi"/>
                <w:spacing w:val="-2"/>
                <w:szCs w:val="24"/>
                <w:highlight w:val="green"/>
              </w:rPr>
            </w:pPr>
          </w:p>
        </w:tc>
      </w:tr>
    </w:tbl>
    <w:p w:rsidR="007C259B" w:rsidRPr="007C259B" w:rsidRDefault="007C259B" w:rsidP="007C259B">
      <w:pPr>
        <w:tabs>
          <w:tab w:val="left" w:pos="240"/>
          <w:tab w:val="left" w:pos="720"/>
        </w:tabs>
        <w:jc w:val="both"/>
        <w:rPr>
          <w:rFonts w:asciiTheme="minorHAnsi" w:hAnsiTheme="minorHAnsi"/>
          <w:spacing w:val="-2"/>
          <w:sz w:val="16"/>
          <w:szCs w:val="16"/>
          <w:highlight w:val="green"/>
        </w:rPr>
      </w:pPr>
      <w:bookmarkStart w:id="0" w:name="_GoBack"/>
      <w:bookmarkEnd w:id="0"/>
    </w:p>
    <w:sectPr w:rsidR="007C259B" w:rsidRPr="007C259B">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14BE" w:rsidRDefault="001914BE" w:rsidP="00A25EFD">
      <w:r>
        <w:separator/>
      </w:r>
    </w:p>
  </w:endnote>
  <w:endnote w:type="continuationSeparator" w:id="0">
    <w:p w:rsidR="001914BE" w:rsidRDefault="001914BE" w:rsidP="00A25E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25EFD" w:rsidRPr="008B4FA5" w:rsidRDefault="00A25EFD">
    <w:pPr>
      <w:pStyle w:val="Footer"/>
    </w:pPr>
    <w:r w:rsidRPr="008B4FA5">
      <w:rPr>
        <w:noProof/>
      </w:rPr>
      <mc:AlternateContent>
        <mc:Choice Requires="wps">
          <w:drawing>
            <wp:anchor distT="0" distB="0" distL="114300" distR="114300" simplePos="0" relativeHeight="251659264" behindDoc="0" locked="0" layoutInCell="1" allowOverlap="1">
              <wp:simplePos x="0" y="0"/>
              <wp:positionH relativeFrom="page">
                <wp:align>center</wp:align>
              </wp:positionH>
              <wp:positionV relativeFrom="page">
                <wp:align>center</wp:align>
              </wp:positionV>
              <wp:extent cx="7364730" cy="9528810"/>
              <wp:effectExtent l="0" t="0" r="26670" b="26670"/>
              <wp:wrapNone/>
              <wp:docPr id="452" name="Rectangle 452"/>
              <wp:cNvGraphicFramePr/>
              <a:graphic xmlns:a="http://schemas.openxmlformats.org/drawingml/2006/main">
                <a:graphicData uri="http://schemas.microsoft.com/office/word/2010/wordprocessingShape">
                  <wps:wsp>
                    <wps:cNvSpPr/>
                    <wps:spPr>
                      <a:xfrm>
                        <a:off x="0" y="0"/>
                        <a:ext cx="7364730" cy="952881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6se="http://schemas.microsoft.com/office/word/2015/wordml/symex" xmlns:cx1="http://schemas.microsoft.com/office/drawing/2015/9/8/chartex" xmlns:cx="http://schemas.microsoft.com/office/drawing/2014/chartex">
          <w:pict>
            <v:rect w14:anchorId="6716B6C8" id="Rectangle 452" o:spid="_x0000_s1026" style="position:absolute;margin-left:0;margin-top:0;width:579.9pt;height:750.3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" filled="f" strokecolor="#747070 [1614]" strokeweight="1.25pt">
              <w10:wrap anchorx="page" anchory="page"/>
            </v:rect>
          </w:pict>
        </mc:Fallback>
      </mc:AlternateContent>
    </w:r>
    <w:r w:rsidRPr="008B4FA5">
      <w:rPr>
        <w:rFonts w:asciiTheme="majorHAnsi" w:eastAsiaTheme="majorEastAsia" w:hAnsiTheme="majorHAnsi" w:cstheme="majorBidi"/>
        <w:sz w:val="20"/>
      </w:rPr>
      <w:t xml:space="preserve">Page </w:t>
    </w:r>
    <w:r w:rsidRPr="008B4FA5">
      <w:rPr>
        <w:rFonts w:asciiTheme="minorHAnsi" w:eastAsiaTheme="minorEastAsia" w:hAnsiTheme="minorHAnsi" w:cstheme="minorBidi"/>
        <w:sz w:val="20"/>
      </w:rPr>
      <w:fldChar w:fldCharType="begin"/>
    </w:r>
    <w:r w:rsidRPr="008B4FA5">
      <w:rPr>
        <w:sz w:val="20"/>
      </w:rPr>
      <w:instrText xml:space="preserve"> PAGE    \* MERGEFORMAT </w:instrText>
    </w:r>
    <w:r w:rsidRPr="008B4FA5">
      <w:rPr>
        <w:rFonts w:asciiTheme="minorHAnsi" w:eastAsiaTheme="minorEastAsia" w:hAnsiTheme="minorHAnsi" w:cstheme="minorBidi"/>
        <w:sz w:val="20"/>
      </w:rPr>
      <w:fldChar w:fldCharType="separate"/>
    </w:r>
    <w:r w:rsidR="007C259B" w:rsidRPr="007C259B">
      <w:rPr>
        <w:rFonts w:asciiTheme="majorHAnsi" w:eastAsiaTheme="majorEastAsia" w:hAnsiTheme="majorHAnsi" w:cstheme="majorBidi"/>
        <w:noProof/>
        <w:sz w:val="20"/>
      </w:rPr>
      <w:t>1</w:t>
    </w:r>
    <w:r w:rsidRPr="008B4FA5">
      <w:rPr>
        <w:rFonts w:asciiTheme="majorHAnsi" w:eastAsiaTheme="majorEastAsia" w:hAnsiTheme="majorHAnsi" w:cstheme="majorBidi"/>
        <w:noProof/>
        <w:sz w:val="20"/>
      </w:rPr>
      <w:fldChar w:fldCharType="end"/>
    </w:r>
    <w:r w:rsidRPr="008B4FA5">
      <w:rPr>
        <w:rFonts w:asciiTheme="majorHAnsi" w:eastAsiaTheme="majorEastAsia" w:hAnsiTheme="majorHAnsi" w:cstheme="majorBidi"/>
        <w:noProof/>
        <w:sz w:val="20"/>
      </w:rPr>
      <w:tab/>
    </w:r>
    <w:r w:rsidRPr="008B4FA5">
      <w:rPr>
        <w:rFonts w:asciiTheme="majorHAnsi" w:eastAsiaTheme="majorEastAsia" w:hAnsiTheme="majorHAnsi" w:cstheme="majorBidi"/>
        <w:noProof/>
        <w:sz w:val="20"/>
      </w:rPr>
      <w:tab/>
      <w:t>09/2018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14BE" w:rsidRDefault="001914BE" w:rsidP="00A25EFD">
      <w:r>
        <w:separator/>
      </w:r>
    </w:p>
  </w:footnote>
  <w:footnote w:type="continuationSeparator" w:id="0">
    <w:p w:rsidR="001914BE" w:rsidRDefault="001914BE" w:rsidP="00A25EF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E061ED"/>
    <w:multiLevelType w:val="hybridMultilevel"/>
    <w:tmpl w:val="F8046D7C"/>
    <w:lvl w:ilvl="0" w:tplc="A17E0F7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15:restartNumberingAfterBreak="0">
    <w:nsid w:val="20370647"/>
    <w:multiLevelType w:val="hybridMultilevel"/>
    <w:tmpl w:val="FC142A0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9EF"/>
    <w:rsid w:val="001914BE"/>
    <w:rsid w:val="001E0445"/>
    <w:rsid w:val="0020170F"/>
    <w:rsid w:val="003B2E10"/>
    <w:rsid w:val="003D3465"/>
    <w:rsid w:val="003E3F2F"/>
    <w:rsid w:val="004253FF"/>
    <w:rsid w:val="00541E18"/>
    <w:rsid w:val="007C259B"/>
    <w:rsid w:val="008B4FA5"/>
    <w:rsid w:val="008B59EF"/>
    <w:rsid w:val="00944213"/>
    <w:rsid w:val="00985A98"/>
    <w:rsid w:val="00A25EFD"/>
    <w:rsid w:val="00A61E09"/>
    <w:rsid w:val="00A97FD7"/>
    <w:rsid w:val="00AE0532"/>
    <w:rsid w:val="00B16F0E"/>
    <w:rsid w:val="00B508AF"/>
    <w:rsid w:val="00C03892"/>
    <w:rsid w:val="00C37F7A"/>
    <w:rsid w:val="00C548C1"/>
    <w:rsid w:val="00CC3A25"/>
    <w:rsid w:val="00CF0896"/>
    <w:rsid w:val="00CF3D63"/>
    <w:rsid w:val="00F34024"/>
    <w:rsid w:val="00F664CA"/>
    <w:rsid w:val="00F926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25A3CC-D192-41E8-86AB-0A5CC2937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B59EF"/>
    <w:pPr>
      <w:spacing w:after="0" w:line="240" w:lineRule="auto"/>
    </w:pPr>
    <w:rPr>
      <w:rFonts w:ascii="Times" w:eastAsia="Times New Roman" w:hAnsi="Times"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C3A25"/>
    <w:pPr>
      <w:spacing w:after="200" w:line="276" w:lineRule="auto"/>
      <w:ind w:left="720"/>
      <w:contextualSpacing/>
    </w:pPr>
    <w:rPr>
      <w:rFonts w:ascii="Calibri" w:hAnsi="Calibri"/>
      <w:sz w:val="22"/>
      <w:szCs w:val="22"/>
    </w:rPr>
  </w:style>
  <w:style w:type="paragraph" w:styleId="Header">
    <w:name w:val="header"/>
    <w:basedOn w:val="Normal"/>
    <w:link w:val="HeaderChar"/>
    <w:uiPriority w:val="99"/>
    <w:unhideWhenUsed/>
    <w:rsid w:val="00A25EFD"/>
    <w:pPr>
      <w:tabs>
        <w:tab w:val="center" w:pos="4680"/>
        <w:tab w:val="right" w:pos="9360"/>
      </w:tabs>
    </w:pPr>
  </w:style>
  <w:style w:type="character" w:customStyle="1" w:styleId="HeaderChar">
    <w:name w:val="Header Char"/>
    <w:basedOn w:val="DefaultParagraphFont"/>
    <w:link w:val="Header"/>
    <w:uiPriority w:val="99"/>
    <w:rsid w:val="00A25EFD"/>
    <w:rPr>
      <w:rFonts w:ascii="Times" w:eastAsia="Times New Roman" w:hAnsi="Times" w:cs="Times New Roman"/>
      <w:sz w:val="24"/>
      <w:szCs w:val="20"/>
    </w:rPr>
  </w:style>
  <w:style w:type="paragraph" w:styleId="Footer">
    <w:name w:val="footer"/>
    <w:basedOn w:val="Normal"/>
    <w:link w:val="FooterChar"/>
    <w:uiPriority w:val="99"/>
    <w:unhideWhenUsed/>
    <w:rsid w:val="00A25EFD"/>
    <w:pPr>
      <w:tabs>
        <w:tab w:val="center" w:pos="4680"/>
        <w:tab w:val="right" w:pos="9360"/>
      </w:tabs>
    </w:pPr>
  </w:style>
  <w:style w:type="character" w:customStyle="1" w:styleId="FooterChar">
    <w:name w:val="Footer Char"/>
    <w:basedOn w:val="DefaultParagraphFont"/>
    <w:link w:val="Footer"/>
    <w:uiPriority w:val="99"/>
    <w:rsid w:val="00A25EFD"/>
    <w:rPr>
      <w:rFonts w:ascii="Times" w:eastAsia="Times New Roman" w:hAnsi="Times" w:cs="Times New Roman"/>
      <w:sz w:val="24"/>
      <w:szCs w:val="20"/>
    </w:rPr>
  </w:style>
  <w:style w:type="character" w:styleId="CommentReference">
    <w:name w:val="annotation reference"/>
    <w:basedOn w:val="DefaultParagraphFont"/>
    <w:uiPriority w:val="99"/>
    <w:semiHidden/>
    <w:unhideWhenUsed/>
    <w:rsid w:val="00A97FD7"/>
    <w:rPr>
      <w:sz w:val="16"/>
      <w:szCs w:val="16"/>
    </w:rPr>
  </w:style>
  <w:style w:type="paragraph" w:styleId="CommentText">
    <w:name w:val="annotation text"/>
    <w:basedOn w:val="Normal"/>
    <w:link w:val="CommentTextChar"/>
    <w:uiPriority w:val="99"/>
    <w:semiHidden/>
    <w:unhideWhenUsed/>
    <w:rsid w:val="00A97FD7"/>
    <w:rPr>
      <w:sz w:val="20"/>
    </w:rPr>
  </w:style>
  <w:style w:type="character" w:customStyle="1" w:styleId="CommentTextChar">
    <w:name w:val="Comment Text Char"/>
    <w:basedOn w:val="DefaultParagraphFont"/>
    <w:link w:val="CommentText"/>
    <w:uiPriority w:val="99"/>
    <w:semiHidden/>
    <w:rsid w:val="00A97FD7"/>
    <w:rPr>
      <w:rFonts w:ascii="Times" w:eastAsia="Times New Roman" w:hAnsi="Times" w:cs="Times New Roman"/>
      <w:sz w:val="20"/>
      <w:szCs w:val="20"/>
    </w:rPr>
  </w:style>
  <w:style w:type="paragraph" w:styleId="CommentSubject">
    <w:name w:val="annotation subject"/>
    <w:basedOn w:val="CommentText"/>
    <w:next w:val="CommentText"/>
    <w:link w:val="CommentSubjectChar"/>
    <w:uiPriority w:val="99"/>
    <w:semiHidden/>
    <w:unhideWhenUsed/>
    <w:rsid w:val="00A97FD7"/>
    <w:rPr>
      <w:b/>
      <w:bCs/>
    </w:rPr>
  </w:style>
  <w:style w:type="character" w:customStyle="1" w:styleId="CommentSubjectChar">
    <w:name w:val="Comment Subject Char"/>
    <w:basedOn w:val="CommentTextChar"/>
    <w:link w:val="CommentSubject"/>
    <w:uiPriority w:val="99"/>
    <w:semiHidden/>
    <w:rsid w:val="00A97FD7"/>
    <w:rPr>
      <w:rFonts w:ascii="Times" w:eastAsia="Times New Roman" w:hAnsi="Times" w:cs="Times New Roman"/>
      <w:b/>
      <w:bCs/>
      <w:sz w:val="20"/>
      <w:szCs w:val="20"/>
    </w:rPr>
  </w:style>
  <w:style w:type="paragraph" w:styleId="BalloonText">
    <w:name w:val="Balloon Text"/>
    <w:basedOn w:val="Normal"/>
    <w:link w:val="BalloonTextChar"/>
    <w:uiPriority w:val="99"/>
    <w:semiHidden/>
    <w:unhideWhenUsed/>
    <w:rsid w:val="00A97FD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7FD7"/>
    <w:rPr>
      <w:rFonts w:ascii="Segoe UI" w:eastAsia="Times New Roman" w:hAnsi="Segoe UI" w:cs="Segoe UI"/>
      <w:sz w:val="18"/>
      <w:szCs w:val="18"/>
    </w:rPr>
  </w:style>
  <w:style w:type="character" w:styleId="Hyperlink">
    <w:name w:val="Hyperlink"/>
    <w:basedOn w:val="DefaultParagraphFont"/>
    <w:uiPriority w:val="99"/>
    <w:unhideWhenUsed/>
    <w:rsid w:val="00A97FD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q.nasa.gov/office/procurement/regs/NFS.pdf" TargetMode="External"/><Relationship Id="rId3" Type="http://schemas.openxmlformats.org/officeDocument/2006/relationships/settings" Target="settings.xml"/><Relationship Id="rId7" Type="http://schemas.openxmlformats.org/officeDocument/2006/relationships/hyperlink" Target="https://www.acquisition.gov/sites/default/files/current/far/html/Subpart%2045_1.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2</Pages>
  <Words>599</Words>
  <Characters>3417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HPES ACES</Company>
  <LinksUpToDate>false</LinksUpToDate>
  <CharactersWithSpaces>4008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Kaelberer, Debra C. (GSFC-2100)</dc:creator>
  <cp:keywords/>
  <dc:description/>
  <cp:lastModifiedBy>Sierra, Suzanne (GSFC-2100)</cp:lastModifiedBy>
  <cp:revision>4</cp:revision>
  <dcterms:created xsi:type="dcterms:W3CDTF">2018-09-18T17:30:00Z</dcterms:created>
  <dcterms:modified xsi:type="dcterms:W3CDTF">2018-09-18T18:27:00Z</dcterms:modified>
</cp:coreProperties>
</file>